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rPr>
          <w:sz w:val="15"/>
          <w:szCs w:val="1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404040"/>
          <w:spacing w:val="0"/>
          <w:sz w:val="15"/>
          <w:szCs w:val="15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5"/>
          <w:szCs w:val="15"/>
          <w:bdr w:val="none" w:color="auto" w:sz="0" w:space="0"/>
          <w:shd w:val="clear" w:fill="FFFFFF"/>
        </w:rPr>
        <w:t>16区人事考试机构咨询电话</w:t>
      </w:r>
    </w:p>
    <w:tbl>
      <w:tblPr>
        <w:tblW w:w="14985" w:type="dxa"/>
        <w:tblInd w:w="0" w:type="dxa"/>
        <w:tblBorders>
          <w:top w:val="single" w:color="404040" w:sz="6" w:space="0"/>
          <w:left w:val="single" w:color="404040" w:sz="6" w:space="0"/>
          <w:bottom w:val="single" w:color="404040" w:sz="6" w:space="0"/>
          <w:right w:val="single" w:color="40404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4"/>
        <w:gridCol w:w="5399"/>
        <w:gridCol w:w="3912"/>
      </w:tblGrid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720" w:type="dxa"/>
            <w:tcBorders>
              <w:top w:val="single" w:color="404040" w:sz="6" w:space="0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单位名称</w:t>
            </w:r>
          </w:p>
        </w:tc>
        <w:tc>
          <w:tcPr>
            <w:tcW w:w="3540" w:type="dxa"/>
            <w:tcBorders>
              <w:top w:val="single" w:color="404040" w:sz="6" w:space="0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办公时间</w:t>
            </w:r>
          </w:p>
        </w:tc>
        <w:tc>
          <w:tcPr>
            <w:tcW w:w="2565" w:type="dxa"/>
            <w:tcBorders>
              <w:top w:val="single" w:color="404040" w:sz="6" w:space="0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东城区人事考试中心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上午9：00—11：30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87091856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下午13：30—17：00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西城区人事考试中心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上午9：00—11：30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83529884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下午13：30—17：00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朝阳区考试鉴定中心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上午9：00—12：00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84296061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下午14：00—17：00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海淀区考试中心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上午9：00—12：00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68945516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下午13：30—17：00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丰台区人事考试中心（东区）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上午9：00—11：30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63258384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下午14：00—17：00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石景山区人事考试中心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上午9：00—12：00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68868107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下午14：00—17：30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门头沟区人事教育考试中心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上午9：00—11：30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69844345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下午13：30—17：00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房山区人事考试中心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上午9：00—11：30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69365742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下午14：00—17：00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通州区人事考试中心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上午8：30—11：30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81539621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下午13：00—17：00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昌平区人事考试中心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上午8：00—11：30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80101318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下午13：00—17：00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平谷区人事考试中心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上午8：30—11：30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69970247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下午13：30—17：00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顺义区人事教育考试中心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上午9：00—11：30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69448834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下午14：00—17：00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大兴区人事考试服务中心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上午9：00—11：30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81296852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下午13：30—17：00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怀柔区人力资源考试中心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上午8：30—11：30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89686020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下午13：00—17：00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延庆区人事教育考试中心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上午8：30—11：30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69102794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下午14：00—17：00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720" w:type="dxa"/>
            <w:vMerge w:val="restart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密云区人事考试中心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上午8：30—11：30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89038098</w:t>
            </w:r>
          </w:p>
        </w:tc>
      </w:tr>
      <w:tr>
        <w:tblPrEx>
          <w:tblBorders>
            <w:top w:val="single" w:color="404040" w:sz="6" w:space="0"/>
            <w:left w:val="single" w:color="404040" w:sz="6" w:space="0"/>
            <w:bottom w:val="single" w:color="404040" w:sz="6" w:space="0"/>
            <w:right w:val="single" w:color="40404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720" w:type="dxa"/>
            <w:vMerge w:val="continue"/>
            <w:tcBorders>
              <w:top w:val="nil"/>
              <w:left w:val="single" w:color="404040" w:sz="6" w:space="0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下午13：00—17：00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404040" w:sz="6" w:space="0"/>
              <w:right w:val="single" w:color="404040" w:sz="6" w:space="0"/>
            </w:tcBorders>
            <w:shd w:val="clear" w:color="auto" w:fill="FFFFFF"/>
            <w:tcMar>
              <w:left w:w="240" w:type="dxa"/>
              <w:right w:w="240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rPr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rPr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3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15"/>
          <w:szCs w:val="15"/>
        </w:rPr>
      </w:pPr>
      <w:bookmarkStart w:id="0" w:name="_GoBack"/>
      <w:bookmarkEnd w:id="0"/>
    </w:p>
    <w:p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C2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老憨yoyo</cp:lastModifiedBy>
  <dcterms:modified xsi:type="dcterms:W3CDTF">2020-08-18T06:48:06Z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